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ascii="Arial" w:hAnsi="Arial" w:eastAsia="宋体" w:cs="Arial"/>
          <w:b/>
          <w:sz w:val="22"/>
          <w:szCs w:val="22"/>
          <w:lang w:val="en-US" w:eastAsia="zh-CN" w:bidi="ar-SA"/>
        </w:rPr>
      </w:pPr>
      <w:r>
        <w:rPr>
          <w:rFonts w:hint="eastAsia" w:ascii="Arial" w:hAnsi="Arial" w:eastAsia="宋体" w:cs="Arial"/>
          <w:b/>
          <w:sz w:val="22"/>
          <w:szCs w:val="22"/>
          <w:lang w:val="en-GB" w:eastAsia="zh-CN" w:bidi="ar-SA"/>
        </w:rPr>
        <w:t>3GPP TSG-RAN WG2 Meeting #</w:t>
      </w:r>
      <w:r>
        <w:rPr>
          <w:rFonts w:hint="eastAsia" w:ascii="Arial" w:hAnsi="Arial" w:eastAsia="宋体" w:cs="Arial"/>
          <w:b/>
          <w:sz w:val="22"/>
          <w:szCs w:val="22"/>
          <w:lang w:val="en-US" w:eastAsia="zh-CN" w:bidi="ar-SA"/>
        </w:rPr>
        <w:t>10</w:t>
      </w:r>
      <w:r>
        <w:rPr>
          <w:rFonts w:hint="eastAsia" w:ascii="Arial" w:hAnsi="Arial" w:eastAsia="宋体" w:cs="Arial"/>
          <w:b/>
          <w:sz w:val="22"/>
          <w:szCs w:val="22"/>
          <w:lang w:val="en-GB" w:eastAsia="zh-CN" w:bidi="ar-SA"/>
        </w:rPr>
        <w:t>1</w:t>
      </w:r>
      <w:r>
        <w:rPr>
          <w:rFonts w:hint="eastAsia" w:ascii="Arial" w:hAnsi="Arial" w:eastAsia="宋体" w:cs="Arial"/>
          <w:b/>
          <w:sz w:val="22"/>
          <w:szCs w:val="22"/>
          <w:lang w:val="en-US" w:eastAsia="zh-CN" w:bidi="ar-SA"/>
        </w:rPr>
        <w:t xml:space="preserve">bis </w:t>
      </w:r>
      <w:r>
        <w:rPr>
          <w:rFonts w:hint="eastAsia" w:ascii="Arial" w:hAnsi="Arial" w:eastAsia="宋体" w:cs="Arial"/>
          <w:b/>
          <w:sz w:val="22"/>
          <w:szCs w:val="22"/>
          <w:lang w:val="en-US" w:eastAsia="zh-CN" w:bidi="ar-SA"/>
        </w:rPr>
        <w:tab/>
      </w:r>
      <w:r>
        <w:rPr>
          <w:rFonts w:hint="eastAsia" w:ascii="Arial" w:hAnsi="Arial" w:eastAsia="宋体" w:cs="Arial"/>
          <w:b/>
          <w:sz w:val="22"/>
          <w:szCs w:val="22"/>
          <w:lang w:val="en-US" w:eastAsia="zh-CN" w:bidi="ar-SA"/>
        </w:rPr>
        <w:t>R2-1804401</w:t>
      </w:r>
    </w:p>
    <w:p>
      <w:pPr>
        <w:pStyle w:val="84"/>
        <w:tabs>
          <w:tab w:val="right" w:pos="9639"/>
        </w:tabs>
        <w:spacing w:after="0"/>
        <w:rPr>
          <w:rFonts w:hint="eastAsia" w:ascii="Arial" w:hAnsi="Arial" w:eastAsia="宋体" w:cs="Arial"/>
          <w:b/>
          <w:sz w:val="22"/>
          <w:szCs w:val="22"/>
          <w:lang w:val="en-US" w:eastAsia="zh-CN" w:bidi="ar-SA"/>
        </w:rPr>
      </w:pPr>
      <w:r>
        <w:rPr>
          <w:rFonts w:hint="eastAsia" w:ascii="Arial" w:hAnsi="Arial" w:eastAsia="宋体" w:cs="Arial"/>
          <w:b/>
          <w:sz w:val="22"/>
          <w:szCs w:val="22"/>
          <w:lang w:val="en-US" w:eastAsia="zh-CN" w:bidi="ar-SA"/>
        </w:rPr>
        <w:t>Sanya</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US" w:eastAsia="zh-CN" w:bidi="ar-SA"/>
        </w:rPr>
        <w:t>China</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US" w:eastAsia="zh-CN" w:bidi="ar-SA"/>
        </w:rPr>
        <w:t>16</w:t>
      </w:r>
      <w:r>
        <w:rPr>
          <w:rFonts w:hint="eastAsia" w:ascii="Arial" w:hAnsi="Arial" w:eastAsia="宋体" w:cs="Arial"/>
          <w:b/>
          <w:sz w:val="22"/>
          <w:szCs w:val="22"/>
          <w:lang w:val="en-GB" w:eastAsia="zh-CN" w:bidi="ar-SA"/>
        </w:rPr>
        <w:t xml:space="preserve">th </w:t>
      </w:r>
      <w:r>
        <w:rPr>
          <w:rFonts w:hint="eastAsia" w:ascii="Arial" w:hAnsi="Arial" w:eastAsia="宋体" w:cs="Arial"/>
          <w:b/>
          <w:sz w:val="22"/>
          <w:szCs w:val="22"/>
          <w:lang w:val="en-US" w:eastAsia="zh-CN" w:bidi="ar-SA"/>
        </w:rPr>
        <w:t>April</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US" w:eastAsia="zh-CN" w:bidi="ar-SA"/>
        </w:rPr>
        <w:t>20th</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US" w:eastAsia="zh-CN" w:bidi="ar-SA"/>
        </w:rPr>
        <w:t>April</w:t>
      </w:r>
      <w:r>
        <w:rPr>
          <w:rFonts w:hint="eastAsia" w:ascii="Arial" w:hAnsi="Arial" w:eastAsia="宋体" w:cs="Arial"/>
          <w:b/>
          <w:sz w:val="22"/>
          <w:szCs w:val="22"/>
          <w:lang w:val="en-GB" w:eastAsia="zh-CN" w:bidi="ar-SA"/>
        </w:rPr>
        <w:t xml:space="preserve"> 2018</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bCs/>
          <w:color w:val="000000"/>
          <w:sz w:val="21"/>
          <w:szCs w:val="21"/>
          <w:shd w:val="clear" w:color="auto" w:fill="FFFFFF"/>
          <w:lang w:val="en-US" w:eastAsia="zh-CN"/>
        </w:rPr>
        <w:t xml:space="preserve">Discussion on </w:t>
      </w:r>
      <w:r>
        <w:rPr>
          <w:rFonts w:hint="eastAsia" w:eastAsia="宋体"/>
          <w:szCs w:val="28"/>
          <w:lang w:val="en-US" w:eastAsia="zh-CN"/>
        </w:rPr>
        <w:t>the determination of the PH value type</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10.3.1.12</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3"/>
        <w:rPr>
          <w:rFonts w:hint="eastAsia" w:eastAsia="宋体"/>
          <w:sz w:val="21"/>
          <w:szCs w:val="28"/>
          <w:lang w:val="en-GB" w:eastAsia="zh-CN"/>
        </w:rPr>
      </w:pPr>
      <w:r>
        <w:rPr>
          <w:rFonts w:hint="eastAsia" w:eastAsia="宋体"/>
          <w:sz w:val="21"/>
          <w:szCs w:val="28"/>
          <w:lang w:val="en-US" w:eastAsia="zh-CN"/>
        </w:rPr>
        <w:t>The intention of this contribution is to discuss the correction to the determination of the PH value type.</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3"/>
        <w:rPr>
          <w:rFonts w:hint="eastAsia" w:eastAsia="宋体"/>
          <w:sz w:val="21"/>
          <w:szCs w:val="28"/>
          <w:lang w:val="en-US" w:eastAsia="zh-CN"/>
        </w:rPr>
      </w:pPr>
      <w:r>
        <w:rPr>
          <w:rFonts w:hint="eastAsia" w:eastAsia="宋体"/>
          <w:sz w:val="21"/>
          <w:szCs w:val="28"/>
          <w:lang w:val="en-US" w:eastAsia="zh-CN"/>
        </w:rPr>
        <w:t>In the current spec, the following description can be found for the determination of PH value type:</w:t>
      </w:r>
    </w:p>
    <w:p>
      <w:pPr>
        <w:pStyle w:val="3"/>
        <w:rPr>
          <w:rFonts w:hint="eastAsia" w:eastAsia="宋体"/>
          <w:sz w:val="21"/>
          <w:szCs w:val="28"/>
          <w:lang w:val="en-US" w:eastAsia="zh-CN"/>
        </w:rPr>
      </w:pPr>
      <w:r>
        <w:rPr>
          <w:rFonts w:hint="eastAsia" w:eastAsia="宋体"/>
          <w:sz w:val="21"/>
          <w:szCs w:val="28"/>
          <w:lang w:val="en-US" w:eastAsia="zh-CN"/>
        </w:rPr>
        <w:t>----------------------------------------------From 38.321 Start-------------------------------------------------</w:t>
      </w:r>
    </w:p>
    <w:p>
      <w:pPr>
        <w:pStyle w:val="3"/>
        <w:rPr>
          <w:rFonts w:hint="eastAsia" w:eastAsia="宋体"/>
          <w:sz w:val="21"/>
          <w:szCs w:val="28"/>
          <w:lang w:val="en-US" w:eastAsia="zh-CN"/>
        </w:rPr>
      </w:pPr>
      <w:r>
        <w:rPr>
          <w:rFonts w:hint="eastAsia" w:eastAsia="宋体"/>
          <w:sz w:val="21"/>
          <w:szCs w:val="28"/>
          <w:lang w:val="en-US" w:eastAsia="ko-KR"/>
        </w:rPr>
        <w:t>UE determines whether PH value for an activated Serving Cell is based on real transmission or a reference format by considering the downlink control information which has been received until and including the PDCCH occasion in which the first UL grant</w:t>
      </w:r>
      <w:r>
        <w:rPr>
          <w:rFonts w:hint="eastAsia" w:eastAsia="宋体"/>
          <w:sz w:val="21"/>
          <w:szCs w:val="28"/>
          <w:lang w:val="en-US" w:eastAsia="zh-CN"/>
        </w:rPr>
        <w:t xml:space="preserve"> </w:t>
      </w:r>
      <w:r>
        <w:rPr>
          <w:rFonts w:hint="eastAsia" w:eastAsia="宋体"/>
          <w:sz w:val="21"/>
          <w:szCs w:val="28"/>
          <w:lang w:val="en-US" w:eastAsia="ko-KR"/>
        </w:rPr>
        <w:t>is received since a PHR has been triggered.</w:t>
      </w:r>
    </w:p>
    <w:p>
      <w:pPr>
        <w:pStyle w:val="3"/>
        <w:rPr>
          <w:rFonts w:hint="eastAsia" w:eastAsia="宋体"/>
          <w:sz w:val="21"/>
          <w:szCs w:val="28"/>
          <w:lang w:val="en-US" w:eastAsia="zh-CN"/>
        </w:rPr>
      </w:pPr>
      <w:r>
        <w:rPr>
          <w:rFonts w:hint="eastAsia" w:eastAsia="宋体"/>
          <w:sz w:val="21"/>
          <w:szCs w:val="28"/>
          <w:lang w:val="en-US" w:eastAsia="zh-CN"/>
        </w:rPr>
        <w:t>----------------------------------------------From 38.321 End -------------------------------------------------</w:t>
      </w:r>
    </w:p>
    <w:p>
      <w:pPr>
        <w:pStyle w:val="3"/>
        <w:rPr>
          <w:rFonts w:hint="eastAsia" w:eastAsiaTheme="minorEastAsia"/>
          <w:b/>
          <w:lang w:eastAsia="zh-CN"/>
        </w:rPr>
      </w:pPr>
      <w:r>
        <w:rPr>
          <w:rFonts w:hint="eastAsia" w:eastAsia="宋体"/>
          <w:sz w:val="21"/>
          <w:szCs w:val="28"/>
          <w:lang w:val="en-US" w:eastAsia="zh-CN"/>
        </w:rPr>
        <w:t xml:space="preserve">Based on the description, the UE determines type of PH value by considering the downlink control information which has been received </w:t>
      </w:r>
      <w:r>
        <w:rPr>
          <w:rFonts w:hint="eastAsia" w:eastAsia="宋体"/>
          <w:sz w:val="21"/>
          <w:szCs w:val="28"/>
          <w:highlight w:val="yellow"/>
          <w:lang w:val="en-US" w:eastAsia="zh-CN"/>
        </w:rPr>
        <w:t xml:space="preserve">until and including the PDCCH occasion in which the first UL grant </w:t>
      </w:r>
      <w:r>
        <w:rPr>
          <w:rFonts w:hint="eastAsia" w:eastAsia="宋体"/>
          <w:sz w:val="21"/>
          <w:szCs w:val="28"/>
          <w:lang w:val="en-US" w:eastAsia="zh-CN"/>
        </w:rPr>
        <w:t>is received since a PHR has been triggered. However, since the first UL grant may be a grant for retransmission, which can not be used to transfer the PHR, and some real transmission may happen later on the other SCells, determine the PH value type based on the first UL grant may lead to unnecessary use of the reference format, even in case real transmission has happened. One example is given as follow to illustrate the issue:</w:t>
      </w:r>
    </w:p>
    <w:p>
      <w:pPr>
        <w:pBdr>
          <w:top w:val="none" w:color="auto" w:sz="0" w:space="0"/>
          <w:left w:val="none" w:color="auto" w:sz="0" w:space="0"/>
          <w:bottom w:val="none" w:color="auto" w:sz="0" w:space="0"/>
          <w:right w:val="none" w:color="auto" w:sz="0" w:space="0"/>
          <w:between w:val="none" w:color="auto" w:sz="0" w:space="0"/>
        </w:pBdr>
        <w:rPr>
          <w:rFonts w:eastAsia="宋体"/>
          <w:b/>
          <w:iCs/>
          <w:lang w:eastAsia="zh-CN"/>
        </w:rPr>
      </w:pPr>
    </w:p>
    <w:p>
      <w:pPr>
        <w:pBdr>
          <w:top w:val="none" w:color="auto" w:sz="0" w:space="0"/>
          <w:left w:val="none" w:color="auto" w:sz="0" w:space="0"/>
          <w:bottom w:val="none" w:color="auto" w:sz="0" w:space="0"/>
          <w:right w:val="none" w:color="auto" w:sz="0" w:space="0"/>
          <w:between w:val="none" w:color="auto" w:sz="0" w:space="0"/>
        </w:pBdr>
        <w:jc w:val="both"/>
        <w:rPr>
          <w:rFonts w:eastAsia="宋体"/>
          <w:b/>
          <w:iCs/>
          <w:lang w:eastAsia="zh-CN"/>
        </w:rPr>
      </w:pPr>
      <w:r>
        <w:rPr>
          <w:rFonts w:eastAsia="宋体"/>
          <w:b/>
          <w:iCs/>
          <w:lang w:eastAsia="zh-CN"/>
        </w:rPr>
        <w:object>
          <v:shape id="_x0000_i1025" o:spt="75" type="#_x0000_t75" style="height:252.8pt;width:453.3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pBdr>
          <w:top w:val="none" w:color="auto" w:sz="0" w:space="0"/>
          <w:left w:val="none" w:color="auto" w:sz="0" w:space="0"/>
          <w:bottom w:val="none" w:color="auto" w:sz="0" w:space="0"/>
          <w:right w:val="none" w:color="auto" w:sz="0" w:space="0"/>
          <w:between w:val="none" w:color="auto" w:sz="0" w:space="0"/>
        </w:pBdr>
        <w:jc w:val="center"/>
        <w:rPr>
          <w:rFonts w:eastAsia="宋体"/>
          <w:b/>
          <w:iCs/>
          <w:lang w:val="en-US" w:eastAsia="zh-CN"/>
        </w:rPr>
      </w:pPr>
      <w:r>
        <w:rPr>
          <w:rFonts w:hint="eastAsia" w:eastAsia="宋体"/>
          <w:b/>
          <w:iCs/>
          <w:lang w:val="en-US" w:eastAsia="zh-CN"/>
        </w:rPr>
        <w:t>Figure: Example for the PH value type issue</w:t>
      </w:r>
    </w:p>
    <w:p>
      <w:p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p>
      <w:pPr>
        <w:pStyle w:val="3"/>
        <w:rPr>
          <w:rFonts w:hint="eastAsia" w:eastAsia="宋体"/>
          <w:sz w:val="21"/>
          <w:szCs w:val="28"/>
          <w:lang w:val="en-US" w:eastAsia="zh-CN"/>
        </w:rPr>
      </w:pPr>
      <w:r>
        <w:rPr>
          <w:rFonts w:hint="eastAsia" w:eastAsia="宋体"/>
          <w:sz w:val="21"/>
          <w:szCs w:val="28"/>
          <w:lang w:val="en-US" w:eastAsia="zh-CN"/>
        </w:rPr>
        <w:t xml:space="preserve">In the example above, a PHR is triggered at T1, and a UL grant for retransmission is received at T2 on SCell1, which is the first UL grant since a PHR is triggered. According to current spec </w:t>
      </w:r>
      <w:r>
        <w:rPr>
          <w:rFonts w:hint="default" w:eastAsia="宋体"/>
          <w:sz w:val="21"/>
          <w:szCs w:val="28"/>
          <w:lang w:val="en-US" w:eastAsia="zh-CN"/>
        </w:rPr>
        <w:t>“</w:t>
      </w:r>
      <w:r>
        <w:rPr>
          <w:rFonts w:hint="eastAsia" w:eastAsia="宋体"/>
          <w:sz w:val="21"/>
          <w:szCs w:val="28"/>
          <w:lang w:val="en-US" w:eastAsia="zh-CN"/>
        </w:rPr>
        <w:t xml:space="preserve">considering the downlink control information which has been received </w:t>
      </w:r>
      <w:r>
        <w:rPr>
          <w:rFonts w:hint="eastAsia" w:eastAsia="宋体"/>
          <w:sz w:val="21"/>
          <w:szCs w:val="28"/>
          <w:highlight w:val="yellow"/>
          <w:lang w:val="en-US" w:eastAsia="zh-CN"/>
        </w:rPr>
        <w:t>until and including</w:t>
      </w:r>
      <w:r>
        <w:rPr>
          <w:rFonts w:hint="eastAsia" w:eastAsia="宋体"/>
          <w:sz w:val="21"/>
          <w:szCs w:val="28"/>
          <w:lang w:val="en-US" w:eastAsia="zh-CN"/>
        </w:rPr>
        <w:t xml:space="preserve"> the PDCCH occasion in which </w:t>
      </w:r>
      <w:r>
        <w:rPr>
          <w:rFonts w:hint="eastAsia" w:eastAsia="宋体"/>
          <w:sz w:val="21"/>
          <w:szCs w:val="28"/>
          <w:highlight w:val="yellow"/>
          <w:lang w:val="en-US" w:eastAsia="zh-CN"/>
        </w:rPr>
        <w:t>the first UL grant</w:t>
      </w:r>
      <w:r>
        <w:rPr>
          <w:rFonts w:hint="eastAsia" w:eastAsia="宋体"/>
          <w:sz w:val="21"/>
          <w:szCs w:val="28"/>
          <w:lang w:val="en-US" w:eastAsia="zh-CN"/>
        </w:rPr>
        <w:t xml:space="preserve"> is received since a PHR has been triggered</w:t>
      </w:r>
      <w:r>
        <w:rPr>
          <w:rFonts w:hint="default" w:eastAsia="宋体"/>
          <w:sz w:val="21"/>
          <w:szCs w:val="28"/>
          <w:lang w:val="en-US" w:eastAsia="zh-CN"/>
        </w:rPr>
        <w:t>”</w:t>
      </w:r>
      <w:r>
        <w:rPr>
          <w:rFonts w:hint="eastAsia" w:eastAsia="宋体"/>
          <w:sz w:val="21"/>
          <w:szCs w:val="28"/>
          <w:lang w:val="en-US" w:eastAsia="zh-CN"/>
        </w:rPr>
        <w:t xml:space="preserve">, both SCell 2&amp;3 will report virtual PHR (i.e. use </w:t>
      </w:r>
      <w:r>
        <w:rPr>
          <w:rFonts w:hint="eastAsia" w:eastAsia="宋体"/>
          <w:sz w:val="21"/>
          <w:szCs w:val="28"/>
          <w:lang w:val="en-US" w:eastAsia="ko-KR"/>
        </w:rPr>
        <w:t>reference format</w:t>
      </w:r>
      <w:r>
        <w:rPr>
          <w:rFonts w:hint="eastAsia" w:eastAsia="宋体"/>
          <w:sz w:val="21"/>
          <w:szCs w:val="28"/>
          <w:lang w:val="en-US" w:eastAsia="zh-CN"/>
        </w:rPr>
        <w:t xml:space="preserve">). However, the UL grant in T1 is only for retransmission, which can not be used to transmit the PHR. Later, UL grant for retransmission has been received on SCell 2/3 in T3/T4, and then in T5 the UL grant for new transmission has been received and the PHR MAC CE is generated. Since there are real transmission on SCell 2&amp;3 on T3/T4 before the generate of PHR on </w:t>
      </w:r>
      <w:bookmarkStart w:id="3" w:name="_GoBack"/>
      <w:bookmarkEnd w:id="3"/>
      <w:r>
        <w:rPr>
          <w:rFonts w:hint="eastAsia" w:eastAsia="宋体"/>
          <w:sz w:val="21"/>
          <w:szCs w:val="28"/>
          <w:lang w:val="en-US" w:eastAsia="zh-CN"/>
        </w:rPr>
        <w:t>T5, it should be possible for the SCell 2/3 to report PH based on real transmission instead of reference format. So, in order to correct this, we give our proposal as follow:</w:t>
      </w:r>
    </w:p>
    <w:p>
      <w:pPr>
        <w:pStyle w:val="3"/>
        <w:rPr>
          <w:rFonts w:hint="eastAsia" w:eastAsia="宋体"/>
          <w:b/>
          <w:bCs/>
          <w:sz w:val="21"/>
          <w:szCs w:val="28"/>
          <w:lang w:val="en-US" w:eastAsia="zh-CN"/>
        </w:rPr>
      </w:pPr>
      <w:r>
        <w:rPr>
          <w:rFonts w:hint="eastAsia" w:eastAsia="宋体"/>
          <w:b/>
          <w:bCs/>
          <w:sz w:val="21"/>
          <w:szCs w:val="28"/>
          <w:lang w:val="en-US" w:eastAsia="zh-CN"/>
        </w:rPr>
        <w:t xml:space="preserve">Proposal 1: UE should </w:t>
      </w:r>
      <w:r>
        <w:rPr>
          <w:rFonts w:hint="eastAsia" w:eastAsia="宋体"/>
          <w:b/>
          <w:bCs/>
          <w:sz w:val="21"/>
          <w:szCs w:val="28"/>
          <w:lang w:val="en-US" w:eastAsia="ko-KR"/>
        </w:rPr>
        <w:t>determine</w:t>
      </w:r>
      <w:r>
        <w:rPr>
          <w:rFonts w:hint="eastAsia" w:eastAsia="宋体"/>
          <w:b/>
          <w:bCs/>
          <w:sz w:val="21"/>
          <w:szCs w:val="28"/>
          <w:lang w:val="en-US" w:eastAsia="zh-CN"/>
        </w:rPr>
        <w:t xml:space="preserve"> </w:t>
      </w:r>
      <w:r>
        <w:rPr>
          <w:rFonts w:hint="eastAsia" w:eastAsia="宋体"/>
          <w:b/>
          <w:bCs/>
          <w:sz w:val="21"/>
          <w:szCs w:val="28"/>
          <w:lang w:val="en-US" w:eastAsia="ko-KR"/>
        </w:rPr>
        <w:t>PH value</w:t>
      </w:r>
      <w:r>
        <w:rPr>
          <w:rFonts w:hint="eastAsia" w:eastAsia="宋体"/>
          <w:b/>
          <w:bCs/>
          <w:sz w:val="21"/>
          <w:szCs w:val="28"/>
          <w:lang w:val="en-US" w:eastAsia="zh-CN"/>
        </w:rPr>
        <w:t xml:space="preserve"> type based on the </w:t>
      </w:r>
      <w:r>
        <w:rPr>
          <w:rFonts w:hint="eastAsia" w:eastAsia="宋体"/>
          <w:b/>
          <w:bCs/>
          <w:sz w:val="21"/>
          <w:szCs w:val="28"/>
          <w:lang w:val="en-US" w:eastAsia="ko-KR"/>
        </w:rPr>
        <w:t xml:space="preserve">downlink control information which has been received until and including the PDCCH occasion in which the </w:t>
      </w:r>
      <w:r>
        <w:rPr>
          <w:rFonts w:hint="eastAsia" w:eastAsia="宋体"/>
          <w:b/>
          <w:bCs/>
          <w:sz w:val="21"/>
          <w:szCs w:val="28"/>
          <w:highlight w:val="yellow"/>
          <w:lang w:val="en-US" w:eastAsia="ko-KR"/>
        </w:rPr>
        <w:t>first UL grant</w:t>
      </w:r>
      <w:r>
        <w:rPr>
          <w:rFonts w:hint="eastAsia" w:eastAsia="宋体"/>
          <w:b/>
          <w:bCs/>
          <w:sz w:val="21"/>
          <w:szCs w:val="28"/>
          <w:highlight w:val="yellow"/>
          <w:lang w:val="en-US" w:eastAsia="zh-CN"/>
        </w:rPr>
        <w:t xml:space="preserve"> for new transmission</w:t>
      </w:r>
      <w:r>
        <w:rPr>
          <w:rFonts w:hint="eastAsia" w:eastAsia="宋体"/>
          <w:b/>
          <w:bCs/>
          <w:sz w:val="21"/>
          <w:szCs w:val="28"/>
          <w:lang w:val="en-US" w:eastAsia="zh-CN"/>
        </w:rPr>
        <w:t xml:space="preserve"> </w:t>
      </w:r>
      <w:r>
        <w:rPr>
          <w:rFonts w:hint="eastAsia" w:eastAsia="宋体"/>
          <w:b/>
          <w:bCs/>
          <w:sz w:val="21"/>
          <w:szCs w:val="28"/>
          <w:lang w:val="en-US" w:eastAsia="ko-KR"/>
        </w:rPr>
        <w:t>is received since a PHR has been triggered.</w:t>
      </w:r>
    </w:p>
    <w:p>
      <w:pPr>
        <w:pStyle w:val="2"/>
        <w:pBdr>
          <w:top w:val="single" w:color="auto" w:sz="4" w:space="0"/>
          <w:left w:val="none" w:color="auto" w:sz="0" w:space="0"/>
          <w:bottom w:val="none" w:color="auto" w:sz="0" w:space="0"/>
          <w:right w:val="none" w:color="auto" w:sz="0" w:space="0"/>
          <w:between w:val="none" w:color="auto" w:sz="0" w:space="0"/>
        </w:pBdr>
        <w:jc w:val="both"/>
      </w:pPr>
      <w:r>
        <w:t>Conclusion</w:t>
      </w:r>
    </w:p>
    <w:p>
      <w:pPr>
        <w:pBdr>
          <w:top w:val="none" w:color="auto" w:sz="0" w:space="0"/>
          <w:left w:val="none" w:color="auto" w:sz="0" w:space="0"/>
          <w:bottom w:val="none" w:color="auto" w:sz="0" w:space="0"/>
          <w:right w:val="none" w:color="auto" w:sz="0" w:space="0"/>
          <w:between w:val="none" w:color="auto" w:sz="0" w:space="0"/>
        </w:pBdr>
        <w:rPr>
          <w:rFonts w:eastAsia="宋体"/>
          <w:lang w:eastAsia="zh-CN"/>
        </w:rPr>
      </w:pPr>
      <w:r>
        <w:rPr>
          <w:rFonts w:hint="eastAsia" w:eastAsia="宋体"/>
          <w:lang w:eastAsia="zh-CN"/>
        </w:rPr>
        <w:t>Based on the analysis given above, we give our observation and proposal as follow:</w:t>
      </w:r>
    </w:p>
    <w:p>
      <w:pPr>
        <w:pBdr>
          <w:top w:val="none" w:color="auto" w:sz="0" w:space="0"/>
          <w:left w:val="none" w:color="auto" w:sz="0" w:space="0"/>
          <w:bottom w:val="none" w:color="auto" w:sz="0" w:space="0"/>
          <w:right w:val="none" w:color="auto" w:sz="0" w:space="0"/>
          <w:between w:val="none" w:color="auto" w:sz="0" w:space="0"/>
        </w:pBdr>
        <w:rPr>
          <w:rFonts w:eastAsia="宋体"/>
          <w:lang w:eastAsia="zh-CN"/>
        </w:rPr>
      </w:pPr>
    </w:p>
    <w:p>
      <w:pPr>
        <w:pBdr>
          <w:top w:val="none" w:color="auto" w:sz="0" w:space="0"/>
          <w:left w:val="none" w:color="auto" w:sz="0" w:space="0"/>
          <w:bottom w:val="none" w:color="auto" w:sz="0" w:space="0"/>
          <w:right w:val="none" w:color="auto" w:sz="0" w:space="0"/>
          <w:between w:val="none" w:color="auto" w:sz="0" w:space="0"/>
        </w:pBdr>
        <w:rPr>
          <w:rFonts w:hint="eastAsia" w:eastAsia="宋体"/>
          <w:b/>
          <w:bCs/>
          <w:lang w:val="en-US" w:eastAsia="zh-CN"/>
        </w:rPr>
      </w:pPr>
      <w:r>
        <w:rPr>
          <w:rFonts w:hint="eastAsia" w:eastAsia="宋体"/>
          <w:b/>
          <w:bCs/>
          <w:lang w:val="en-US" w:eastAsia="zh-CN"/>
        </w:rPr>
        <w:t xml:space="preserve">Proposal 1: UE should </w:t>
      </w:r>
      <w:r>
        <w:rPr>
          <w:b/>
          <w:bCs/>
          <w:lang w:eastAsia="ko-KR"/>
        </w:rPr>
        <w:t>determine</w:t>
      </w:r>
      <w:r>
        <w:rPr>
          <w:rFonts w:hint="eastAsia" w:eastAsia="宋体"/>
          <w:b/>
          <w:bCs/>
          <w:lang w:val="en-US" w:eastAsia="zh-CN"/>
        </w:rPr>
        <w:t xml:space="preserve"> </w:t>
      </w:r>
      <w:r>
        <w:rPr>
          <w:b/>
          <w:bCs/>
          <w:lang w:eastAsia="ko-KR"/>
        </w:rPr>
        <w:t>PH value</w:t>
      </w:r>
      <w:r>
        <w:rPr>
          <w:rFonts w:hint="eastAsia" w:eastAsia="宋体"/>
          <w:b/>
          <w:bCs/>
          <w:lang w:val="en-US" w:eastAsia="zh-CN"/>
        </w:rPr>
        <w:t xml:space="preserve"> type based on the </w:t>
      </w:r>
      <w:r>
        <w:rPr>
          <w:b/>
          <w:bCs/>
          <w:lang w:eastAsia="ko-KR"/>
        </w:rPr>
        <w:t xml:space="preserve">downlink control information which has been received until and including the PDCCH occasion in which the </w:t>
      </w:r>
      <w:r>
        <w:rPr>
          <w:b/>
          <w:bCs/>
          <w:highlight w:val="yellow"/>
          <w:lang w:eastAsia="ko-KR"/>
        </w:rPr>
        <w:t>first UL grant</w:t>
      </w:r>
      <w:r>
        <w:rPr>
          <w:rFonts w:hint="eastAsia" w:eastAsia="宋体"/>
          <w:b/>
          <w:bCs/>
          <w:highlight w:val="yellow"/>
          <w:lang w:val="en-US" w:eastAsia="zh-CN"/>
        </w:rPr>
        <w:t xml:space="preserve"> for new transmission</w:t>
      </w:r>
      <w:r>
        <w:rPr>
          <w:rFonts w:hint="eastAsia" w:eastAsia="宋体"/>
          <w:b/>
          <w:bCs/>
          <w:lang w:val="en-US" w:eastAsia="zh-CN"/>
        </w:rPr>
        <w:t xml:space="preserve"> </w:t>
      </w:r>
      <w:r>
        <w:rPr>
          <w:b/>
          <w:bCs/>
          <w:lang w:eastAsia="ko-KR"/>
        </w:rPr>
        <w:t>is received since a PHR has been triggered.</w:t>
      </w:r>
    </w:p>
    <w:p>
      <w:pPr>
        <w:pBdr>
          <w:top w:val="none" w:color="auto" w:sz="0" w:space="0"/>
          <w:left w:val="none" w:color="auto" w:sz="0" w:space="0"/>
          <w:bottom w:val="none" w:color="auto" w:sz="0" w:space="0"/>
          <w:right w:val="none" w:color="auto" w:sz="0" w:space="0"/>
          <w:between w:val="none" w:color="auto" w:sz="0" w:space="0"/>
        </w:pBdr>
        <w:rPr>
          <w:rFonts w:eastAsia="宋体"/>
          <w:b/>
          <w:szCs w:val="20"/>
          <w:lang w:val="en-US" w:eastAsia="zh-CN"/>
        </w:rPr>
      </w:pPr>
    </w:p>
    <w:p>
      <w:pPr>
        <w:pBdr>
          <w:top w:val="none" w:color="auto" w:sz="0" w:space="0"/>
          <w:left w:val="none" w:color="auto" w:sz="0" w:space="0"/>
          <w:bottom w:val="none" w:color="auto" w:sz="0" w:space="0"/>
          <w:right w:val="none" w:color="auto" w:sz="0" w:space="0"/>
          <w:between w:val="none" w:color="auto" w:sz="0" w:space="0"/>
        </w:pBdr>
        <w:rPr>
          <w:rFonts w:ascii="Arial" w:hAnsi="Arial" w:eastAsiaTheme="minorEastAsia"/>
          <w:lang w:val="fi-FI" w:eastAsia="zh-CN"/>
        </w:rPr>
      </w:pPr>
      <w:r>
        <w:rPr>
          <w:rFonts w:hint="eastAsia" w:eastAsia="宋体"/>
          <w:lang w:val="en-US" w:eastAsia="zh-CN"/>
        </w:rPr>
        <w:t>The related CR is given in [1]</w:t>
      </w:r>
      <w:r>
        <w:rPr>
          <w:rFonts w:hint="eastAsia"/>
          <w:b/>
          <w:iCs/>
        </w:rPr>
        <w:t xml:space="preserve"> </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3"/>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r>
        <w:rPr>
          <w:rFonts w:hint="eastAsia" w:eastAsia="宋体"/>
          <w:lang w:val="en-GB" w:eastAsia="zh-CN"/>
        </w:rPr>
        <w:t>[1</w:t>
      </w:r>
      <w:r>
        <w:rPr>
          <w:rFonts w:eastAsia="宋体"/>
          <w:lang w:val="en-GB" w:eastAsia="zh-CN"/>
        </w:rPr>
        <w:t xml:space="preserve">] </w:t>
      </w:r>
      <w:r>
        <w:rPr>
          <w:rFonts w:hint="eastAsia" w:eastAsia="宋体"/>
          <w:lang w:val="en-GB" w:eastAsia="zh-CN"/>
        </w:rPr>
        <w:t>R2-1804876</w:t>
      </w:r>
      <w:r>
        <w:rPr>
          <w:rFonts w:hint="eastAsia" w:eastAsia="宋体"/>
          <w:lang w:val="en-GB" w:eastAsia="zh-CN"/>
        </w:rPr>
        <w:tab/>
      </w:r>
      <w:r>
        <w:rPr>
          <w:rFonts w:hint="eastAsia" w:eastAsia="宋体"/>
          <w:lang w:val="en-GB" w:eastAsia="zh-CN"/>
        </w:rPr>
        <w:t>CR for the PH value type determination</w:t>
      </w:r>
    </w:p>
    <w:p>
      <w:pPr>
        <w:pStyle w:val="3"/>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3"/>
        <w:pBdr>
          <w:top w:val="none" w:color="auto" w:sz="0" w:space="0"/>
          <w:left w:val="none" w:color="auto" w:sz="0" w:space="0"/>
          <w:bottom w:val="none" w:color="auto" w:sz="0" w:space="0"/>
          <w:right w:val="none" w:color="auto" w:sz="0" w:space="0"/>
          <w:between w:val="none" w:color="auto" w:sz="0" w:space="0"/>
        </w:pBdr>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3BF16C1"/>
    <w:rsid w:val="04422021"/>
    <w:rsid w:val="0582796D"/>
    <w:rsid w:val="0649325D"/>
    <w:rsid w:val="072B715D"/>
    <w:rsid w:val="073444D8"/>
    <w:rsid w:val="09B82318"/>
    <w:rsid w:val="0CA45875"/>
    <w:rsid w:val="0D7735C1"/>
    <w:rsid w:val="0DF11F2D"/>
    <w:rsid w:val="0E6E593D"/>
    <w:rsid w:val="0F3573CF"/>
    <w:rsid w:val="0F5C0682"/>
    <w:rsid w:val="10081732"/>
    <w:rsid w:val="100A5ED1"/>
    <w:rsid w:val="108558B7"/>
    <w:rsid w:val="10B21205"/>
    <w:rsid w:val="117D6CA9"/>
    <w:rsid w:val="131B3A72"/>
    <w:rsid w:val="13587E3E"/>
    <w:rsid w:val="14890F28"/>
    <w:rsid w:val="15E96D92"/>
    <w:rsid w:val="16E650F6"/>
    <w:rsid w:val="17D8549B"/>
    <w:rsid w:val="184F4020"/>
    <w:rsid w:val="18742B83"/>
    <w:rsid w:val="1A8A5B7E"/>
    <w:rsid w:val="1AF2495A"/>
    <w:rsid w:val="1BA2390D"/>
    <w:rsid w:val="1BAE78BD"/>
    <w:rsid w:val="1E474216"/>
    <w:rsid w:val="1E831CAA"/>
    <w:rsid w:val="1F555894"/>
    <w:rsid w:val="238154F4"/>
    <w:rsid w:val="257D5651"/>
    <w:rsid w:val="273B2AE2"/>
    <w:rsid w:val="28D01C3C"/>
    <w:rsid w:val="28EC1E80"/>
    <w:rsid w:val="28F42B77"/>
    <w:rsid w:val="29E806D9"/>
    <w:rsid w:val="2DFE3C75"/>
    <w:rsid w:val="302D7571"/>
    <w:rsid w:val="31F03AB7"/>
    <w:rsid w:val="327276DD"/>
    <w:rsid w:val="3472228A"/>
    <w:rsid w:val="348F3B12"/>
    <w:rsid w:val="35F4163C"/>
    <w:rsid w:val="368B7705"/>
    <w:rsid w:val="37BD5DA5"/>
    <w:rsid w:val="37E34EA0"/>
    <w:rsid w:val="386113FA"/>
    <w:rsid w:val="38BD6327"/>
    <w:rsid w:val="39653F7E"/>
    <w:rsid w:val="3D754879"/>
    <w:rsid w:val="3EDD524D"/>
    <w:rsid w:val="3F8C28BA"/>
    <w:rsid w:val="42C673F9"/>
    <w:rsid w:val="44E46B9C"/>
    <w:rsid w:val="453F67C5"/>
    <w:rsid w:val="4676484C"/>
    <w:rsid w:val="46A86AEE"/>
    <w:rsid w:val="46FF18CB"/>
    <w:rsid w:val="48BB3DB2"/>
    <w:rsid w:val="49DA3D9D"/>
    <w:rsid w:val="4B921DF9"/>
    <w:rsid w:val="4CE9144F"/>
    <w:rsid w:val="4EB174CF"/>
    <w:rsid w:val="4EF1316B"/>
    <w:rsid w:val="4F150A97"/>
    <w:rsid w:val="4F411CC6"/>
    <w:rsid w:val="503F487A"/>
    <w:rsid w:val="52950ECB"/>
    <w:rsid w:val="54295CB2"/>
    <w:rsid w:val="55025020"/>
    <w:rsid w:val="556B6A94"/>
    <w:rsid w:val="55B4675A"/>
    <w:rsid w:val="57DD2170"/>
    <w:rsid w:val="58337537"/>
    <w:rsid w:val="5913647E"/>
    <w:rsid w:val="59307E86"/>
    <w:rsid w:val="59724A8E"/>
    <w:rsid w:val="59E050E2"/>
    <w:rsid w:val="5CAF0BB0"/>
    <w:rsid w:val="5F9A29F2"/>
    <w:rsid w:val="616B48F4"/>
    <w:rsid w:val="62BA1095"/>
    <w:rsid w:val="630B2082"/>
    <w:rsid w:val="65D4080E"/>
    <w:rsid w:val="65F46384"/>
    <w:rsid w:val="6634496C"/>
    <w:rsid w:val="664C627C"/>
    <w:rsid w:val="6923311F"/>
    <w:rsid w:val="69262905"/>
    <w:rsid w:val="69C21088"/>
    <w:rsid w:val="6CFC759F"/>
    <w:rsid w:val="6DE74A42"/>
    <w:rsid w:val="6E3D6C31"/>
    <w:rsid w:val="6F101A3C"/>
    <w:rsid w:val="6F15512E"/>
    <w:rsid w:val="709D6AD9"/>
    <w:rsid w:val="70A12211"/>
    <w:rsid w:val="730258BC"/>
    <w:rsid w:val="7316577D"/>
    <w:rsid w:val="73471956"/>
    <w:rsid w:val="74AC4342"/>
    <w:rsid w:val="75C8748F"/>
    <w:rsid w:val="767F5AB5"/>
    <w:rsid w:val="77815A3B"/>
    <w:rsid w:val="77A9757E"/>
    <w:rsid w:val="78E27349"/>
    <w:rsid w:val="7AD52D56"/>
    <w:rsid w:val="7C3209BA"/>
    <w:rsid w:val="7CDE7E75"/>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1"/>
    <w:semiHidden/>
    <w:qFormat/>
    <w:uiPriority w:val="99"/>
  </w:style>
  <w:style w:type="paragraph" w:styleId="10">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0"/>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3"/>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4"/>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9"/>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ScaleCrop>false</ScaleCrop>
  <LinksUpToDate>false</LinksUpToDate>
  <CharactersWithSpaces>17840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2018-04-05T09:29:28Z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